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1F2" w:rsidRDefault="000A01F2" w:rsidP="000A01F2">
      <w:pPr>
        <w:spacing w:after="0" w:line="240" w:lineRule="auto"/>
        <w:jc w:val="center"/>
        <w:rPr>
          <w:rFonts w:ascii="Arial" w:hAnsi="Arial"/>
          <w:b/>
          <w:sz w:val="20"/>
        </w:rPr>
      </w:pPr>
      <w:r>
        <w:rPr>
          <w:rFonts w:ascii="Arial" w:hAnsi="Arial"/>
          <w:b/>
          <w:sz w:val="20"/>
        </w:rPr>
        <w:t>PUSHPAK FINSTOCK INSIDER TRADING POLICY</w:t>
      </w:r>
    </w:p>
    <w:p w:rsidR="000A01F2" w:rsidRDefault="000A01F2" w:rsidP="000A01F2">
      <w:pPr>
        <w:spacing w:after="0" w:line="240" w:lineRule="auto"/>
        <w:jc w:val="center"/>
        <w:rPr>
          <w:rFonts w:ascii="Arial" w:hAnsi="Arial"/>
          <w:b/>
          <w:sz w:val="20"/>
        </w:rPr>
      </w:pPr>
    </w:p>
    <w:p w:rsidR="000800C7" w:rsidRPr="000800C7" w:rsidRDefault="000800C7" w:rsidP="000800C7">
      <w:pPr>
        <w:spacing w:after="0" w:line="240" w:lineRule="auto"/>
        <w:rPr>
          <w:rFonts w:ascii="Arial" w:hAnsi="Arial"/>
          <w:b/>
          <w:sz w:val="20"/>
        </w:rPr>
      </w:pPr>
      <w:r w:rsidRPr="000800C7">
        <w:rPr>
          <w:rFonts w:ascii="Arial" w:hAnsi="Arial"/>
          <w:b/>
          <w:sz w:val="20"/>
        </w:rPr>
        <w:t>Insider Trading</w:t>
      </w:r>
    </w:p>
    <w:p w:rsidR="000800C7" w:rsidRDefault="000800C7" w:rsidP="000800C7">
      <w:pPr>
        <w:spacing w:after="0" w:line="240" w:lineRule="auto"/>
        <w:rPr>
          <w:rFonts w:ascii="Arial" w:hAnsi="Arial"/>
          <w:sz w:val="20"/>
        </w:rPr>
      </w:pPr>
    </w:p>
    <w:p w:rsidR="000800C7" w:rsidRDefault="000800C7" w:rsidP="000800C7">
      <w:pPr>
        <w:spacing w:after="0" w:line="360" w:lineRule="auto"/>
        <w:jc w:val="both"/>
        <w:rPr>
          <w:rFonts w:ascii="Arial" w:hAnsi="Arial"/>
          <w:sz w:val="20"/>
        </w:rPr>
      </w:pPr>
      <w:r>
        <w:rPr>
          <w:rFonts w:ascii="Arial" w:hAnsi="Arial"/>
          <w:sz w:val="20"/>
        </w:rPr>
        <w:t>As per The Securities and Exchange Board of India ([Prohibition of] Insider Trading) Regulations, 1992, we have formulated the internal code of conduct for Insider Trading as under:</w:t>
      </w:r>
    </w:p>
    <w:p w:rsidR="000800C7" w:rsidRDefault="000800C7" w:rsidP="000800C7">
      <w:pPr>
        <w:spacing w:after="0" w:line="360" w:lineRule="auto"/>
        <w:jc w:val="both"/>
        <w:rPr>
          <w:rFonts w:ascii="Arial" w:hAnsi="Arial"/>
          <w:sz w:val="20"/>
        </w:rPr>
      </w:pPr>
    </w:p>
    <w:p w:rsidR="000800C7" w:rsidRDefault="000800C7" w:rsidP="00AE6BD4">
      <w:pPr>
        <w:tabs>
          <w:tab w:val="left" w:pos="450"/>
        </w:tabs>
        <w:spacing w:after="0" w:line="360" w:lineRule="auto"/>
        <w:ind w:left="450" w:hanging="450"/>
        <w:jc w:val="both"/>
        <w:rPr>
          <w:rFonts w:ascii="Arial" w:hAnsi="Arial"/>
          <w:sz w:val="20"/>
        </w:rPr>
      </w:pPr>
      <w:r>
        <w:rPr>
          <w:rFonts w:ascii="Arial" w:hAnsi="Arial"/>
          <w:sz w:val="20"/>
        </w:rPr>
        <w:t>1.</w:t>
      </w:r>
      <w:r>
        <w:rPr>
          <w:rFonts w:ascii="Arial" w:hAnsi="Arial"/>
          <w:sz w:val="20"/>
        </w:rPr>
        <w:tab/>
        <w:t xml:space="preserve"> </w:t>
      </w:r>
      <w:r w:rsidR="00AE6BD4">
        <w:rPr>
          <w:rFonts w:ascii="Arial" w:hAnsi="Arial"/>
          <w:sz w:val="20"/>
        </w:rPr>
        <w:t>In connection to the above, the company has formulated policy to identify the ‘insider’ as the defined in the act</w:t>
      </w:r>
      <w:r w:rsidR="009D7120">
        <w:rPr>
          <w:rFonts w:ascii="Arial" w:hAnsi="Arial"/>
          <w:sz w:val="20"/>
        </w:rPr>
        <w:t xml:space="preserve"> to identify </w:t>
      </w:r>
      <w:r w:rsidR="00D67211">
        <w:rPr>
          <w:rFonts w:ascii="Arial" w:hAnsi="Arial"/>
          <w:sz w:val="20"/>
        </w:rPr>
        <w:t xml:space="preserve">at the time of account opening </w:t>
      </w:r>
      <w:r w:rsidR="009D7120">
        <w:rPr>
          <w:rFonts w:ascii="Arial" w:hAnsi="Arial"/>
          <w:sz w:val="20"/>
        </w:rPr>
        <w:t>as under:</w:t>
      </w:r>
    </w:p>
    <w:p w:rsidR="009D7120" w:rsidRDefault="009D7120" w:rsidP="00AE6BD4">
      <w:pPr>
        <w:tabs>
          <w:tab w:val="left" w:pos="450"/>
        </w:tabs>
        <w:spacing w:after="0" w:line="360" w:lineRule="auto"/>
        <w:ind w:left="450" w:hanging="450"/>
        <w:jc w:val="both"/>
        <w:rPr>
          <w:rFonts w:ascii="Arial" w:hAnsi="Arial"/>
          <w:sz w:val="20"/>
        </w:rPr>
      </w:pPr>
    </w:p>
    <w:p w:rsidR="006A0B8C" w:rsidRDefault="009D7120" w:rsidP="00E40021">
      <w:pPr>
        <w:tabs>
          <w:tab w:val="left" w:pos="450"/>
        </w:tabs>
        <w:spacing w:after="0" w:line="360" w:lineRule="auto"/>
        <w:ind w:left="720" w:hanging="720"/>
        <w:jc w:val="both"/>
        <w:rPr>
          <w:rFonts w:ascii="Arial" w:hAnsi="Arial"/>
          <w:sz w:val="20"/>
        </w:rPr>
      </w:pPr>
      <w:r>
        <w:rPr>
          <w:rFonts w:ascii="Arial" w:hAnsi="Arial"/>
          <w:sz w:val="20"/>
        </w:rPr>
        <w:tab/>
      </w:r>
      <w:r w:rsidR="001A3ABB">
        <w:rPr>
          <w:rFonts w:ascii="Arial" w:hAnsi="Arial" w:cs="Arial"/>
          <w:sz w:val="20"/>
        </w:rPr>
        <w:t>●</w:t>
      </w:r>
      <w:r w:rsidR="001A3ABB">
        <w:rPr>
          <w:rFonts w:ascii="Arial" w:hAnsi="Arial"/>
          <w:sz w:val="20"/>
        </w:rPr>
        <w:tab/>
      </w:r>
      <w:proofErr w:type="gramStart"/>
      <w:r w:rsidR="00E40021">
        <w:rPr>
          <w:rFonts w:ascii="Arial" w:hAnsi="Arial"/>
          <w:sz w:val="20"/>
        </w:rPr>
        <w:t>Any</w:t>
      </w:r>
      <w:proofErr w:type="gramEnd"/>
      <w:r w:rsidR="00E40021">
        <w:rPr>
          <w:rFonts w:ascii="Arial" w:hAnsi="Arial"/>
          <w:sz w:val="20"/>
        </w:rPr>
        <w:t xml:space="preserve"> person who holds more than 5% shares or voting rights in any listed company shall disclose their interest in the company</w:t>
      </w:r>
    </w:p>
    <w:p w:rsidR="00E40021" w:rsidRDefault="00E40021" w:rsidP="00E40021">
      <w:pPr>
        <w:tabs>
          <w:tab w:val="left" w:pos="450"/>
        </w:tabs>
        <w:spacing w:after="0" w:line="360" w:lineRule="auto"/>
        <w:ind w:left="720" w:hanging="720"/>
        <w:jc w:val="both"/>
        <w:rPr>
          <w:rFonts w:ascii="Arial" w:hAnsi="Arial"/>
          <w:sz w:val="20"/>
        </w:rPr>
      </w:pPr>
    </w:p>
    <w:p w:rsidR="00E40021" w:rsidRDefault="00E40021" w:rsidP="00E40021">
      <w:pPr>
        <w:tabs>
          <w:tab w:val="left" w:pos="450"/>
        </w:tabs>
        <w:spacing w:after="0" w:line="360" w:lineRule="auto"/>
        <w:ind w:left="720" w:hanging="720"/>
        <w:jc w:val="both"/>
        <w:rPr>
          <w:rFonts w:ascii="Arial" w:hAnsi="Arial" w:cs="Arial"/>
          <w:sz w:val="20"/>
        </w:rPr>
      </w:pPr>
      <w:r>
        <w:rPr>
          <w:rFonts w:ascii="Arial" w:hAnsi="Arial"/>
          <w:sz w:val="20"/>
        </w:rPr>
        <w:tab/>
      </w:r>
      <w:r>
        <w:rPr>
          <w:rFonts w:ascii="Arial" w:hAnsi="Arial" w:cs="Arial"/>
          <w:sz w:val="20"/>
        </w:rPr>
        <w:t>●</w:t>
      </w:r>
      <w:r>
        <w:rPr>
          <w:rFonts w:ascii="Arial" w:hAnsi="Arial" w:cs="Arial"/>
          <w:sz w:val="20"/>
        </w:rPr>
        <w:tab/>
      </w:r>
      <w:proofErr w:type="gramStart"/>
      <w:r w:rsidR="00D67211">
        <w:rPr>
          <w:rFonts w:ascii="Arial" w:hAnsi="Arial" w:cs="Arial"/>
          <w:sz w:val="20"/>
        </w:rPr>
        <w:t>Any</w:t>
      </w:r>
      <w:proofErr w:type="gramEnd"/>
      <w:r w:rsidR="00D67211">
        <w:rPr>
          <w:rFonts w:ascii="Arial" w:hAnsi="Arial" w:cs="Arial"/>
          <w:sz w:val="20"/>
        </w:rPr>
        <w:t xml:space="preserve"> person who is a director of a listed company, shall disclose their interest in the company </w:t>
      </w:r>
    </w:p>
    <w:p w:rsidR="00A5063C" w:rsidRDefault="00A5063C" w:rsidP="00E40021">
      <w:pPr>
        <w:tabs>
          <w:tab w:val="left" w:pos="450"/>
        </w:tabs>
        <w:spacing w:after="0" w:line="360" w:lineRule="auto"/>
        <w:ind w:left="720" w:hanging="720"/>
        <w:jc w:val="both"/>
        <w:rPr>
          <w:rFonts w:ascii="Arial" w:hAnsi="Arial" w:cs="Arial"/>
          <w:sz w:val="20"/>
        </w:rPr>
      </w:pPr>
    </w:p>
    <w:p w:rsidR="00A5063C" w:rsidRDefault="00A5063C" w:rsidP="00E40021">
      <w:pPr>
        <w:tabs>
          <w:tab w:val="left" w:pos="450"/>
        </w:tabs>
        <w:spacing w:after="0" w:line="360" w:lineRule="auto"/>
        <w:ind w:left="720" w:hanging="720"/>
        <w:jc w:val="both"/>
        <w:rPr>
          <w:rFonts w:ascii="Arial" w:hAnsi="Arial" w:cs="Arial"/>
          <w:sz w:val="20"/>
        </w:rPr>
      </w:pPr>
      <w:r>
        <w:rPr>
          <w:rFonts w:ascii="Arial" w:hAnsi="Arial" w:cs="Arial"/>
          <w:sz w:val="20"/>
        </w:rPr>
        <w:tab/>
        <w:t>●</w:t>
      </w:r>
      <w:r>
        <w:rPr>
          <w:rFonts w:ascii="Arial" w:hAnsi="Arial" w:cs="Arial"/>
          <w:sz w:val="20"/>
        </w:rPr>
        <w:tab/>
      </w:r>
      <w:r w:rsidR="0053589E">
        <w:rPr>
          <w:rFonts w:ascii="Arial" w:hAnsi="Arial" w:cs="Arial"/>
          <w:sz w:val="20"/>
        </w:rPr>
        <w:t xml:space="preserve">Any person who is – company under same management, intermediary, merchant banker, share transfer agent, registrar to an issue, debenture trustee, broker, portfolio manager, Investment Advisor, sub-broker, Investment company or an employee thereof, or, is a member of the board of Trustees of a mutual fund or a member of the Board of Directors of the Asset Management company of a mutual fund or is an employee thereof who has a </w:t>
      </w:r>
      <w:proofErr w:type="spellStart"/>
      <w:r w:rsidR="0053589E">
        <w:rPr>
          <w:rFonts w:ascii="Arial" w:hAnsi="Arial" w:cs="Arial"/>
          <w:sz w:val="20"/>
        </w:rPr>
        <w:t>fuduciary</w:t>
      </w:r>
      <w:proofErr w:type="spellEnd"/>
      <w:r w:rsidR="0053589E">
        <w:rPr>
          <w:rFonts w:ascii="Arial" w:hAnsi="Arial" w:cs="Arial"/>
          <w:sz w:val="20"/>
        </w:rPr>
        <w:t xml:space="preserve"> relationship with the </w:t>
      </w:r>
      <w:r w:rsidR="00AE48A5">
        <w:rPr>
          <w:rFonts w:ascii="Arial" w:hAnsi="Arial" w:cs="Arial"/>
          <w:sz w:val="20"/>
        </w:rPr>
        <w:t xml:space="preserve">listed </w:t>
      </w:r>
      <w:r w:rsidR="0053589E">
        <w:rPr>
          <w:rFonts w:ascii="Arial" w:hAnsi="Arial" w:cs="Arial"/>
          <w:sz w:val="20"/>
        </w:rPr>
        <w:t>company</w:t>
      </w:r>
    </w:p>
    <w:p w:rsidR="00AE48A5" w:rsidRDefault="00AE48A5" w:rsidP="00E40021">
      <w:pPr>
        <w:tabs>
          <w:tab w:val="left" w:pos="450"/>
        </w:tabs>
        <w:spacing w:after="0" w:line="360" w:lineRule="auto"/>
        <w:ind w:left="720" w:hanging="720"/>
        <w:jc w:val="both"/>
        <w:rPr>
          <w:rFonts w:ascii="Arial" w:hAnsi="Arial" w:cs="Arial"/>
          <w:sz w:val="20"/>
        </w:rPr>
      </w:pPr>
    </w:p>
    <w:p w:rsidR="00AE48A5" w:rsidRDefault="00AE48A5" w:rsidP="00E40021">
      <w:pPr>
        <w:tabs>
          <w:tab w:val="left" w:pos="450"/>
        </w:tabs>
        <w:spacing w:after="0" w:line="360" w:lineRule="auto"/>
        <w:ind w:left="720" w:hanging="720"/>
        <w:jc w:val="both"/>
        <w:rPr>
          <w:rFonts w:ascii="Arial" w:hAnsi="Arial" w:cs="Arial"/>
          <w:sz w:val="20"/>
        </w:rPr>
      </w:pPr>
      <w:r>
        <w:rPr>
          <w:rFonts w:ascii="Arial" w:hAnsi="Arial" w:cs="Arial"/>
          <w:sz w:val="20"/>
        </w:rPr>
        <w:tab/>
        <w:t>●</w:t>
      </w:r>
      <w:r>
        <w:rPr>
          <w:rFonts w:ascii="Arial" w:hAnsi="Arial" w:cs="Arial"/>
          <w:sz w:val="20"/>
        </w:rPr>
        <w:tab/>
        <w:t>Any person who is the relative of any of the above.</w:t>
      </w:r>
    </w:p>
    <w:p w:rsidR="00973CD2" w:rsidRDefault="00973CD2" w:rsidP="00E40021">
      <w:pPr>
        <w:tabs>
          <w:tab w:val="left" w:pos="450"/>
        </w:tabs>
        <w:spacing w:after="0" w:line="360" w:lineRule="auto"/>
        <w:ind w:left="720" w:hanging="720"/>
        <w:jc w:val="both"/>
        <w:rPr>
          <w:rFonts w:ascii="Arial" w:hAnsi="Arial" w:cs="Arial"/>
          <w:sz w:val="20"/>
        </w:rPr>
      </w:pPr>
    </w:p>
    <w:p w:rsidR="00973CD2" w:rsidRDefault="00973CD2" w:rsidP="00973CD2">
      <w:pPr>
        <w:tabs>
          <w:tab w:val="left" w:pos="450"/>
        </w:tabs>
        <w:spacing w:after="0" w:line="360" w:lineRule="auto"/>
        <w:ind w:left="450" w:hanging="450"/>
        <w:jc w:val="both"/>
        <w:rPr>
          <w:rFonts w:ascii="Arial" w:hAnsi="Arial" w:cs="Arial"/>
          <w:sz w:val="20"/>
        </w:rPr>
      </w:pPr>
      <w:r>
        <w:rPr>
          <w:rFonts w:ascii="Arial" w:hAnsi="Arial" w:cs="Arial"/>
          <w:sz w:val="20"/>
        </w:rPr>
        <w:tab/>
        <w:t>The company has set its internal system for keeping watch on such clients to prevent the insider trading up</w:t>
      </w:r>
      <w:r w:rsidR="00DE28B8">
        <w:rPr>
          <w:rFonts w:ascii="Arial" w:hAnsi="Arial" w:cs="Arial"/>
          <w:sz w:val="20"/>
        </w:rPr>
        <w:t xml:space="preserve"> </w:t>
      </w:r>
      <w:r>
        <w:rPr>
          <w:rFonts w:ascii="Arial" w:hAnsi="Arial" w:cs="Arial"/>
          <w:sz w:val="20"/>
        </w:rPr>
        <w:t>to the maximum extent</w:t>
      </w:r>
      <w:r w:rsidR="00AA6471">
        <w:rPr>
          <w:rFonts w:ascii="Arial" w:hAnsi="Arial" w:cs="Arial"/>
          <w:sz w:val="20"/>
        </w:rPr>
        <w:t xml:space="preserve">. </w:t>
      </w:r>
    </w:p>
    <w:p w:rsidR="00611B56" w:rsidRDefault="00611B56" w:rsidP="00973CD2">
      <w:pPr>
        <w:tabs>
          <w:tab w:val="left" w:pos="450"/>
        </w:tabs>
        <w:spacing w:after="0" w:line="360" w:lineRule="auto"/>
        <w:ind w:left="450" w:hanging="450"/>
        <w:jc w:val="both"/>
        <w:rPr>
          <w:rFonts w:ascii="Arial" w:hAnsi="Arial" w:cs="Arial"/>
          <w:sz w:val="20"/>
        </w:rPr>
      </w:pPr>
    </w:p>
    <w:p w:rsidR="006F3264" w:rsidRDefault="00611B56" w:rsidP="00973CD2">
      <w:pPr>
        <w:tabs>
          <w:tab w:val="left" w:pos="450"/>
        </w:tabs>
        <w:spacing w:after="0" w:line="360" w:lineRule="auto"/>
        <w:ind w:left="450" w:hanging="450"/>
        <w:jc w:val="both"/>
        <w:rPr>
          <w:rFonts w:ascii="Arial" w:hAnsi="Arial" w:cs="Arial"/>
          <w:sz w:val="20"/>
        </w:rPr>
      </w:pPr>
      <w:r>
        <w:rPr>
          <w:rFonts w:ascii="Arial" w:hAnsi="Arial" w:cs="Arial"/>
          <w:sz w:val="20"/>
        </w:rPr>
        <w:t>2.</w:t>
      </w:r>
      <w:r>
        <w:rPr>
          <w:rFonts w:ascii="Arial" w:hAnsi="Arial" w:cs="Arial"/>
          <w:sz w:val="20"/>
        </w:rPr>
        <w:tab/>
      </w:r>
      <w:r w:rsidR="00973CD2">
        <w:rPr>
          <w:rFonts w:ascii="Arial" w:hAnsi="Arial" w:cs="Arial"/>
          <w:sz w:val="20"/>
        </w:rPr>
        <w:t xml:space="preserve"> </w:t>
      </w:r>
      <w:r w:rsidR="00DE28B8">
        <w:rPr>
          <w:rFonts w:ascii="Arial" w:hAnsi="Arial" w:cs="Arial"/>
          <w:sz w:val="20"/>
        </w:rPr>
        <w:t xml:space="preserve">Further, as referred to the clients in the </w:t>
      </w:r>
      <w:proofErr w:type="spellStart"/>
      <w:r w:rsidR="00DE28B8">
        <w:rPr>
          <w:rFonts w:ascii="Arial" w:hAnsi="Arial" w:cs="Arial"/>
          <w:sz w:val="20"/>
        </w:rPr>
        <w:t>para</w:t>
      </w:r>
      <w:proofErr w:type="spellEnd"/>
      <w:r w:rsidR="00DE28B8">
        <w:rPr>
          <w:rFonts w:ascii="Arial" w:hAnsi="Arial" w:cs="Arial"/>
          <w:sz w:val="20"/>
        </w:rPr>
        <w:t xml:space="preserve"> 1. </w:t>
      </w:r>
      <w:proofErr w:type="gramStart"/>
      <w:r w:rsidR="005F7E66">
        <w:rPr>
          <w:rFonts w:ascii="Arial" w:hAnsi="Arial" w:cs="Arial"/>
          <w:sz w:val="20"/>
        </w:rPr>
        <w:t>a</w:t>
      </w:r>
      <w:r w:rsidR="00DE28B8">
        <w:rPr>
          <w:rFonts w:ascii="Arial" w:hAnsi="Arial" w:cs="Arial"/>
          <w:sz w:val="20"/>
        </w:rPr>
        <w:t>bove</w:t>
      </w:r>
      <w:proofErr w:type="gramEnd"/>
      <w:r w:rsidR="005F7E66">
        <w:rPr>
          <w:rFonts w:ascii="Arial" w:hAnsi="Arial" w:cs="Arial"/>
          <w:sz w:val="20"/>
        </w:rPr>
        <w:t>, and also for the other clients, company closely monitor the trades done by these clients. Any transactions made which are suspicious in nature are closely monitored by the surveillance department keeping in view the guidelines laid down by the SEBI with respect to Insider Trading Prohibition. Similarly, any transactions made with abnormal quantities are monitored.</w:t>
      </w:r>
    </w:p>
    <w:p w:rsidR="006F3264" w:rsidRDefault="006F3264" w:rsidP="00973CD2">
      <w:pPr>
        <w:tabs>
          <w:tab w:val="left" w:pos="450"/>
        </w:tabs>
        <w:spacing w:after="0" w:line="360" w:lineRule="auto"/>
        <w:ind w:left="450" w:hanging="450"/>
        <w:jc w:val="both"/>
        <w:rPr>
          <w:rFonts w:ascii="Arial" w:hAnsi="Arial" w:cs="Arial"/>
          <w:sz w:val="20"/>
        </w:rPr>
      </w:pPr>
    </w:p>
    <w:p w:rsidR="00AA6471" w:rsidRDefault="006F3264" w:rsidP="00973CD2">
      <w:pPr>
        <w:tabs>
          <w:tab w:val="left" w:pos="450"/>
        </w:tabs>
        <w:spacing w:after="0" w:line="360" w:lineRule="auto"/>
        <w:ind w:left="450" w:hanging="450"/>
        <w:jc w:val="both"/>
        <w:rPr>
          <w:rFonts w:ascii="Arial" w:hAnsi="Arial" w:cs="Arial"/>
          <w:sz w:val="20"/>
        </w:rPr>
      </w:pPr>
      <w:r>
        <w:rPr>
          <w:rFonts w:ascii="Arial" w:hAnsi="Arial" w:cs="Arial"/>
          <w:sz w:val="20"/>
        </w:rPr>
        <w:t>3.</w:t>
      </w:r>
      <w:r>
        <w:rPr>
          <w:rFonts w:ascii="Arial" w:hAnsi="Arial" w:cs="Arial"/>
          <w:sz w:val="20"/>
        </w:rPr>
        <w:tab/>
        <w:t xml:space="preserve">The company further keeps close monitoring, on trading made in case of illiquid scripts. The company has set parameter in its risk management system wherein it has restricted trading the scripts which are either in T2T group or </w:t>
      </w:r>
      <w:r w:rsidR="001267A9">
        <w:rPr>
          <w:rFonts w:ascii="Arial" w:hAnsi="Arial" w:cs="Arial"/>
          <w:sz w:val="20"/>
        </w:rPr>
        <w:t xml:space="preserve">Z group or </w:t>
      </w:r>
      <w:r>
        <w:rPr>
          <w:rFonts w:ascii="Arial" w:hAnsi="Arial" w:cs="Arial"/>
          <w:sz w:val="20"/>
        </w:rPr>
        <w:t xml:space="preserve">scripts </w:t>
      </w:r>
      <w:r w:rsidR="001267A9">
        <w:rPr>
          <w:rFonts w:ascii="Arial" w:hAnsi="Arial" w:cs="Arial"/>
          <w:sz w:val="20"/>
        </w:rPr>
        <w:t xml:space="preserve">traded </w:t>
      </w:r>
      <w:r>
        <w:rPr>
          <w:rFonts w:ascii="Arial" w:hAnsi="Arial" w:cs="Arial"/>
          <w:sz w:val="20"/>
        </w:rPr>
        <w:t xml:space="preserve">with very negligible volumes etc. </w:t>
      </w:r>
    </w:p>
    <w:p w:rsidR="00AA6471" w:rsidRDefault="00AA6471" w:rsidP="00973CD2">
      <w:pPr>
        <w:tabs>
          <w:tab w:val="left" w:pos="450"/>
        </w:tabs>
        <w:spacing w:after="0" w:line="360" w:lineRule="auto"/>
        <w:ind w:left="450" w:hanging="450"/>
        <w:jc w:val="both"/>
        <w:rPr>
          <w:rFonts w:ascii="Arial" w:hAnsi="Arial" w:cs="Arial"/>
          <w:sz w:val="20"/>
        </w:rPr>
      </w:pPr>
    </w:p>
    <w:p w:rsidR="00973CD2" w:rsidRDefault="00AA6471" w:rsidP="00973CD2">
      <w:pPr>
        <w:tabs>
          <w:tab w:val="left" w:pos="450"/>
        </w:tabs>
        <w:spacing w:after="0" w:line="360" w:lineRule="auto"/>
        <w:ind w:left="450" w:hanging="450"/>
        <w:jc w:val="both"/>
        <w:rPr>
          <w:rFonts w:ascii="Arial" w:hAnsi="Arial" w:cs="Arial"/>
          <w:sz w:val="20"/>
        </w:rPr>
      </w:pPr>
      <w:r>
        <w:rPr>
          <w:rFonts w:ascii="Arial" w:hAnsi="Arial" w:cs="Arial"/>
          <w:sz w:val="20"/>
        </w:rPr>
        <w:lastRenderedPageBreak/>
        <w:t>4.</w:t>
      </w:r>
      <w:r>
        <w:rPr>
          <w:rFonts w:ascii="Arial" w:hAnsi="Arial" w:cs="Arial"/>
          <w:sz w:val="20"/>
        </w:rPr>
        <w:tab/>
        <w:t>In case of fulfillment of all of the above terms and conditions, the company remains highly precautious.</w:t>
      </w:r>
    </w:p>
    <w:p w:rsidR="00E01670" w:rsidRDefault="00E01670" w:rsidP="00E40021">
      <w:pPr>
        <w:tabs>
          <w:tab w:val="left" w:pos="450"/>
        </w:tabs>
        <w:spacing w:after="0" w:line="360" w:lineRule="auto"/>
        <w:ind w:left="720" w:hanging="720"/>
        <w:jc w:val="both"/>
        <w:rPr>
          <w:rFonts w:ascii="Arial" w:hAnsi="Arial" w:cs="Arial"/>
          <w:sz w:val="20"/>
        </w:rPr>
      </w:pPr>
    </w:p>
    <w:p w:rsidR="00FC275F" w:rsidRDefault="00AA6471" w:rsidP="00AA6471">
      <w:pPr>
        <w:spacing w:after="0" w:line="360" w:lineRule="auto"/>
        <w:ind w:left="720" w:hanging="720"/>
        <w:jc w:val="both"/>
        <w:rPr>
          <w:rFonts w:ascii="Arial" w:hAnsi="Arial" w:cs="Arial"/>
          <w:sz w:val="20"/>
        </w:rPr>
      </w:pPr>
      <w:r>
        <w:rPr>
          <w:rFonts w:ascii="Arial" w:hAnsi="Arial" w:cs="Arial"/>
          <w:sz w:val="20"/>
        </w:rPr>
        <w:t>5.</w:t>
      </w:r>
      <w:r>
        <w:rPr>
          <w:rFonts w:ascii="Arial" w:hAnsi="Arial" w:cs="Arial"/>
          <w:sz w:val="20"/>
        </w:rPr>
        <w:tab/>
        <w:t xml:space="preserve">We have duly appointed a compliance officer for prevention of insider trading and compliance of the </w:t>
      </w:r>
      <w:r w:rsidR="00FC275F">
        <w:rPr>
          <w:rFonts w:ascii="Arial" w:hAnsi="Arial" w:cs="Arial"/>
          <w:sz w:val="20"/>
        </w:rPr>
        <w:t>norms lai</w:t>
      </w:r>
      <w:r>
        <w:rPr>
          <w:rFonts w:ascii="Arial" w:hAnsi="Arial" w:cs="Arial"/>
          <w:sz w:val="20"/>
        </w:rPr>
        <w:t>d down by SEBI</w:t>
      </w:r>
      <w:r w:rsidR="00FC275F">
        <w:rPr>
          <w:rFonts w:ascii="Arial" w:hAnsi="Arial" w:cs="Arial"/>
          <w:sz w:val="20"/>
        </w:rPr>
        <w:t xml:space="preserve"> and for observance of such thinly transactions made</w:t>
      </w:r>
      <w:r>
        <w:rPr>
          <w:rFonts w:ascii="Arial" w:hAnsi="Arial" w:cs="Arial"/>
          <w:sz w:val="20"/>
        </w:rPr>
        <w:t>.</w:t>
      </w:r>
      <w:r w:rsidR="00FC275F">
        <w:rPr>
          <w:rFonts w:ascii="Arial" w:hAnsi="Arial" w:cs="Arial"/>
          <w:sz w:val="20"/>
        </w:rPr>
        <w:t xml:space="preserve"> </w:t>
      </w:r>
    </w:p>
    <w:p w:rsidR="001267A9" w:rsidRDefault="001267A9" w:rsidP="00AA6471">
      <w:pPr>
        <w:spacing w:after="0" w:line="360" w:lineRule="auto"/>
        <w:ind w:left="720" w:hanging="720"/>
        <w:jc w:val="both"/>
        <w:rPr>
          <w:rFonts w:ascii="Arial" w:hAnsi="Arial" w:cs="Arial"/>
          <w:sz w:val="20"/>
        </w:rPr>
      </w:pPr>
    </w:p>
    <w:p w:rsidR="001267A9" w:rsidRDefault="001267A9" w:rsidP="00AA6471">
      <w:pPr>
        <w:spacing w:after="0" w:line="360" w:lineRule="auto"/>
        <w:ind w:left="720" w:hanging="720"/>
        <w:jc w:val="both"/>
        <w:rPr>
          <w:rFonts w:ascii="Arial" w:hAnsi="Arial" w:cs="Arial"/>
          <w:sz w:val="20"/>
        </w:rPr>
      </w:pPr>
      <w:r>
        <w:rPr>
          <w:rFonts w:ascii="Arial" w:hAnsi="Arial" w:cs="Arial"/>
          <w:sz w:val="20"/>
        </w:rPr>
        <w:t>6.</w:t>
      </w:r>
      <w:r>
        <w:rPr>
          <w:rFonts w:ascii="Arial" w:hAnsi="Arial" w:cs="Arial"/>
          <w:sz w:val="20"/>
        </w:rPr>
        <w:tab/>
        <w:t>The company further to avoid suspicious transactions made through either modification or else, has kept check so that only genuine mistakes can be rectified through code modification mechanism only after prior approval of management / compliance officer</w:t>
      </w:r>
    </w:p>
    <w:p w:rsidR="001267A9" w:rsidRDefault="001267A9" w:rsidP="00AA6471">
      <w:pPr>
        <w:spacing w:after="0" w:line="360" w:lineRule="auto"/>
        <w:ind w:left="720" w:hanging="720"/>
        <w:jc w:val="both"/>
        <w:rPr>
          <w:rFonts w:ascii="Arial" w:hAnsi="Arial" w:cs="Arial"/>
          <w:sz w:val="20"/>
        </w:rPr>
      </w:pPr>
    </w:p>
    <w:p w:rsidR="001267A9" w:rsidRDefault="001267A9" w:rsidP="00AA6471">
      <w:pPr>
        <w:spacing w:after="0" w:line="360" w:lineRule="auto"/>
        <w:ind w:left="720" w:hanging="720"/>
        <w:jc w:val="both"/>
        <w:rPr>
          <w:rFonts w:ascii="Arial" w:hAnsi="Arial" w:cs="Arial"/>
          <w:sz w:val="20"/>
        </w:rPr>
      </w:pPr>
    </w:p>
    <w:p w:rsidR="00FC275F" w:rsidRDefault="00FC275F" w:rsidP="00FC275F">
      <w:pPr>
        <w:spacing w:after="0" w:line="360" w:lineRule="auto"/>
        <w:ind w:left="180"/>
        <w:jc w:val="both"/>
      </w:pPr>
      <w:r>
        <w:t xml:space="preserve">The </w:t>
      </w:r>
      <w:proofErr w:type="gramStart"/>
      <w:r>
        <w:t>company at present observe</w:t>
      </w:r>
      <w:proofErr w:type="gramEnd"/>
      <w:r>
        <w:t xml:space="preserve"> above said procedure for prevention of Insider Trading. We shall update </w:t>
      </w:r>
      <w:r w:rsidR="00BC7845">
        <w:t>our internal code of conduct keeping in view timely circulars, guidelines and instructions laid down by the regulatory authorities and in consultation with inspection authorities.</w:t>
      </w:r>
    </w:p>
    <w:p w:rsidR="00BC7845" w:rsidRDefault="00BC7845" w:rsidP="00FC275F">
      <w:pPr>
        <w:spacing w:after="0" w:line="360" w:lineRule="auto"/>
        <w:ind w:left="180"/>
        <w:jc w:val="both"/>
      </w:pPr>
    </w:p>
    <w:p w:rsidR="00BC7845" w:rsidRDefault="00BC7845" w:rsidP="00FC275F">
      <w:pPr>
        <w:spacing w:after="0" w:line="360" w:lineRule="auto"/>
        <w:ind w:left="180"/>
        <w:jc w:val="both"/>
      </w:pPr>
      <w:bookmarkStart w:id="0" w:name="_GoBack"/>
      <w:bookmarkEnd w:id="0"/>
    </w:p>
    <w:sectPr w:rsidR="00BC7845" w:rsidSect="00662475">
      <w:headerReference w:type="default" r:id="rId6"/>
      <w:pgSz w:w="12240" w:h="15840"/>
      <w:pgMar w:top="1440" w:right="1440" w:bottom="1440" w:left="1440" w:header="576"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0BB" w:rsidRDefault="008720BB" w:rsidP="00662475">
      <w:pPr>
        <w:spacing w:after="0" w:line="240" w:lineRule="auto"/>
      </w:pPr>
      <w:r>
        <w:separator/>
      </w:r>
    </w:p>
  </w:endnote>
  <w:endnote w:type="continuationSeparator" w:id="0">
    <w:p w:rsidR="008720BB" w:rsidRDefault="008720BB" w:rsidP="006624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0BB" w:rsidRDefault="008720BB" w:rsidP="00662475">
      <w:pPr>
        <w:spacing w:after="0" w:line="240" w:lineRule="auto"/>
      </w:pPr>
      <w:r>
        <w:separator/>
      </w:r>
    </w:p>
  </w:footnote>
  <w:footnote w:type="continuationSeparator" w:id="0">
    <w:p w:rsidR="008720BB" w:rsidRDefault="008720BB" w:rsidP="006624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475" w:rsidRPr="00310CFD" w:rsidRDefault="00662475" w:rsidP="00662475">
    <w:pPr>
      <w:pStyle w:val="Header"/>
      <w:jc w:val="center"/>
      <w:rPr>
        <w:b/>
        <w:sz w:val="24"/>
      </w:rPr>
    </w:pPr>
    <w:r>
      <w:rPr>
        <w:b/>
        <w:noProof/>
        <w:sz w:val="32"/>
      </w:rPr>
      <w:drawing>
        <wp:anchor distT="0" distB="0" distL="114300" distR="114300" simplePos="0" relativeHeight="251659264" behindDoc="1" locked="0" layoutInCell="1" allowOverlap="1">
          <wp:simplePos x="0" y="0"/>
          <wp:positionH relativeFrom="column">
            <wp:posOffset>0</wp:posOffset>
          </wp:positionH>
          <wp:positionV relativeFrom="paragraph">
            <wp:posOffset>4445</wp:posOffset>
          </wp:positionV>
          <wp:extent cx="552450" cy="619125"/>
          <wp:effectExtent l="19050" t="0" r="0" b="0"/>
          <wp:wrapTight wrapText="bothSides">
            <wp:wrapPolygon edited="0">
              <wp:start x="-745" y="0"/>
              <wp:lineTo x="-745" y="21268"/>
              <wp:lineTo x="21600" y="21268"/>
              <wp:lineTo x="21600" y="0"/>
              <wp:lineTo x="-745" y="0"/>
            </wp:wrapPolygon>
          </wp:wrapTight>
          <wp:docPr id="8" name="Picture 3" descr="pu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us1"/>
                  <pic:cNvPicPr>
                    <a:picLocks noChangeAspect="1" noChangeArrowheads="1"/>
                  </pic:cNvPicPr>
                </pic:nvPicPr>
                <pic:blipFill>
                  <a:blip r:embed="rId1"/>
                  <a:srcRect/>
                  <a:stretch>
                    <a:fillRect/>
                  </a:stretch>
                </pic:blipFill>
                <pic:spPr bwMode="auto">
                  <a:xfrm>
                    <a:off x="0" y="0"/>
                    <a:ext cx="552450" cy="619125"/>
                  </a:xfrm>
                  <a:prstGeom prst="rect">
                    <a:avLst/>
                  </a:prstGeom>
                  <a:noFill/>
                  <a:ln w="9525">
                    <a:noFill/>
                    <a:miter lim="800000"/>
                    <a:headEnd/>
                    <a:tailEnd/>
                  </a:ln>
                </pic:spPr>
              </pic:pic>
            </a:graphicData>
          </a:graphic>
        </wp:anchor>
      </w:drawing>
    </w:r>
    <w:r w:rsidRPr="00310CFD">
      <w:rPr>
        <w:b/>
        <w:sz w:val="36"/>
      </w:rPr>
      <w:t>PUSHPAK FINSTOCK</w:t>
    </w:r>
  </w:p>
  <w:p w:rsidR="00662475" w:rsidRPr="00310CFD" w:rsidRDefault="00662475" w:rsidP="00662475">
    <w:pPr>
      <w:pStyle w:val="Header"/>
      <w:jc w:val="center"/>
      <w:rPr>
        <w:sz w:val="24"/>
      </w:rPr>
    </w:pPr>
    <w:r w:rsidRPr="00310CFD">
      <w:rPr>
        <w:sz w:val="24"/>
      </w:rPr>
      <w:t>2130-A/2, ‘VRAJRAJ’ 3</w:t>
    </w:r>
    <w:r w:rsidRPr="00310CFD">
      <w:rPr>
        <w:sz w:val="24"/>
        <w:vertAlign w:val="superscript"/>
      </w:rPr>
      <w:t>RD</w:t>
    </w:r>
    <w:r w:rsidRPr="00310CFD">
      <w:rPr>
        <w:sz w:val="24"/>
      </w:rPr>
      <w:t xml:space="preserve"> Floor, </w:t>
    </w:r>
    <w:proofErr w:type="spellStart"/>
    <w:r w:rsidRPr="00310CFD">
      <w:rPr>
        <w:sz w:val="24"/>
      </w:rPr>
      <w:t>Atabhai</w:t>
    </w:r>
    <w:proofErr w:type="spellEnd"/>
    <w:r w:rsidRPr="00310CFD">
      <w:rPr>
        <w:sz w:val="24"/>
      </w:rPr>
      <w:t xml:space="preserve"> Road, Bhavnagar (</w:t>
    </w:r>
    <w:proofErr w:type="spellStart"/>
    <w:r w:rsidRPr="00310CFD">
      <w:rPr>
        <w:sz w:val="24"/>
      </w:rPr>
      <w:t>Guj</w:t>
    </w:r>
    <w:proofErr w:type="spellEnd"/>
    <w:r w:rsidRPr="00310CFD">
      <w:rPr>
        <w:sz w:val="24"/>
      </w:rPr>
      <w:t>)</w:t>
    </w:r>
  </w:p>
  <w:p w:rsidR="00662475" w:rsidRPr="00C514DB" w:rsidRDefault="00662475" w:rsidP="00662475">
    <w:pPr>
      <w:pStyle w:val="Header"/>
      <w:rPr>
        <w:sz w:val="24"/>
      </w:rPr>
    </w:pPr>
    <w:r>
      <w:rPr>
        <w:sz w:val="24"/>
      </w:rPr>
      <w:t>___________________________________________________________________________</w:t>
    </w:r>
  </w:p>
  <w:p w:rsidR="00662475" w:rsidRDefault="0066247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0800C7"/>
    <w:rsid w:val="000800C7"/>
    <w:rsid w:val="000A01F2"/>
    <w:rsid w:val="001237AC"/>
    <w:rsid w:val="001267A9"/>
    <w:rsid w:val="001A3ABB"/>
    <w:rsid w:val="0048685A"/>
    <w:rsid w:val="0053589E"/>
    <w:rsid w:val="00536AB0"/>
    <w:rsid w:val="00551606"/>
    <w:rsid w:val="005628EC"/>
    <w:rsid w:val="005F7E66"/>
    <w:rsid w:val="00611B56"/>
    <w:rsid w:val="00662475"/>
    <w:rsid w:val="006A0B8C"/>
    <w:rsid w:val="006F3264"/>
    <w:rsid w:val="008720BB"/>
    <w:rsid w:val="00966A71"/>
    <w:rsid w:val="00973CD2"/>
    <w:rsid w:val="009D7120"/>
    <w:rsid w:val="00A5063C"/>
    <w:rsid w:val="00AA6471"/>
    <w:rsid w:val="00AE48A5"/>
    <w:rsid w:val="00AE6BD4"/>
    <w:rsid w:val="00BC7845"/>
    <w:rsid w:val="00D67211"/>
    <w:rsid w:val="00DE28B8"/>
    <w:rsid w:val="00E01670"/>
    <w:rsid w:val="00E40021"/>
    <w:rsid w:val="00FC27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B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6247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62475"/>
  </w:style>
  <w:style w:type="paragraph" w:styleId="Footer">
    <w:name w:val="footer"/>
    <w:basedOn w:val="Normal"/>
    <w:link w:val="FooterChar"/>
    <w:uiPriority w:val="99"/>
    <w:semiHidden/>
    <w:unhideWhenUsed/>
    <w:rsid w:val="0066247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624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Monarch</Company>
  <LinksUpToDate>false</LinksUpToDate>
  <CharactersWithSpaces>2865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Praveen</dc:creator>
  <cp:keywords/>
  <dc:description/>
  <cp:lastModifiedBy>admin</cp:lastModifiedBy>
  <cp:revision>25</cp:revision>
  <cp:lastPrinted>2015-09-16T07:11:00Z</cp:lastPrinted>
  <dcterms:created xsi:type="dcterms:W3CDTF">2008-08-18T06:23:00Z</dcterms:created>
  <dcterms:modified xsi:type="dcterms:W3CDTF">2015-09-16T07:11:00Z</dcterms:modified>
</cp:coreProperties>
</file>